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6C705C">
        <w:trPr>
          <w:trHeight w:hRule="exact" w:val="880"/>
        </w:trPr>
        <w:tc>
          <w:tcPr>
            <w:tcW w:w="7348" w:type="dxa"/>
            <w:shd w:val="clear" w:color="auto" w:fill="auto"/>
          </w:tcPr>
          <w:p w14:paraId="61422EE1" w14:textId="2C34B5BA" w:rsidR="00ED1F74" w:rsidRPr="006C705C" w:rsidRDefault="00F63F5D" w:rsidP="00E900BA">
            <w:pPr>
              <w:pStyle w:val="berschrift1"/>
              <w:ind w:left="0"/>
              <w:rPr>
                <w:b/>
                <w:sz w:val="22"/>
                <w:szCs w:val="22"/>
                <w:lang w:val="en-US"/>
              </w:rPr>
            </w:pPr>
            <w:r w:rsidRPr="006C705C">
              <w:rPr>
                <w:b/>
                <w:sz w:val="22"/>
                <w:szCs w:val="22"/>
                <w:lang w:val="en-US"/>
              </w:rPr>
              <w:t>Presse</w:t>
            </w:r>
            <w:r w:rsidR="00252498" w:rsidRPr="006C705C">
              <w:rPr>
                <w:b/>
                <w:sz w:val="22"/>
                <w:szCs w:val="22"/>
                <w:lang w:val="en-US"/>
              </w:rPr>
              <w:t>mitteilung</w:t>
            </w:r>
          </w:p>
        </w:tc>
        <w:tc>
          <w:tcPr>
            <w:tcW w:w="2999" w:type="dxa"/>
            <w:shd w:val="clear" w:color="auto" w:fill="auto"/>
          </w:tcPr>
          <w:p w14:paraId="430D5AE9" w14:textId="028B6275" w:rsidR="006C705C" w:rsidRPr="006C705C" w:rsidRDefault="00CB4426">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rPr>
              <w:t>10.05</w:t>
            </w:r>
            <w:r w:rsidR="005D1C44" w:rsidRPr="006C705C">
              <w:rPr>
                <w:noProof/>
                <w:szCs w:val="22"/>
              </w:rPr>
              <w:t>.202</w:t>
            </w:r>
            <w:r w:rsidR="00CD26F9" w:rsidRPr="006C705C">
              <w:rPr>
                <w:noProof/>
                <w:szCs w:val="22"/>
              </w:rPr>
              <w:t>2</w:t>
            </w:r>
          </w:p>
          <w:p w14:paraId="5C1EEF0F" w14:textId="77777777" w:rsidR="00ED1F74" w:rsidRPr="006C705C" w:rsidRDefault="00ED1F74" w:rsidP="006C705C">
            <w:pPr>
              <w:ind w:firstLine="624"/>
            </w:pPr>
          </w:p>
        </w:tc>
      </w:tr>
      <w:tr w:rsidR="00ED1F74" w:rsidRPr="00695979" w14:paraId="4BCE48E6" w14:textId="77777777" w:rsidTr="008A1EEB">
        <w:trPr>
          <w:trHeight w:val="1551"/>
        </w:trPr>
        <w:tc>
          <w:tcPr>
            <w:tcW w:w="7348" w:type="dxa"/>
            <w:tcMar>
              <w:top w:w="0" w:type="dxa"/>
            </w:tcMar>
          </w:tcPr>
          <w:p w14:paraId="24508D6E" w14:textId="0EBFE860" w:rsidR="004416BA" w:rsidRPr="004416BA" w:rsidRDefault="004416BA" w:rsidP="005D1C44">
            <w:pPr>
              <w:spacing w:line="280" w:lineRule="atLeast"/>
              <w:rPr>
                <w:rFonts w:cs="Arial"/>
                <w:b/>
                <w:sz w:val="36"/>
                <w:szCs w:val="36"/>
              </w:rPr>
            </w:pPr>
            <w:bookmarkStart w:id="1" w:name="Thema1"/>
            <w:bookmarkStart w:id="2" w:name="Thema2"/>
            <w:bookmarkEnd w:id="1"/>
            <w:bookmarkEnd w:id="2"/>
            <w:r w:rsidRPr="004416BA">
              <w:rPr>
                <w:rFonts w:cs="Arial"/>
                <w:b/>
                <w:sz w:val="36"/>
                <w:szCs w:val="36"/>
              </w:rPr>
              <w:t xml:space="preserve">Sperrfrist </w:t>
            </w:r>
            <w:r>
              <w:rPr>
                <w:rFonts w:cs="Arial"/>
                <w:b/>
                <w:sz w:val="36"/>
                <w:szCs w:val="36"/>
              </w:rPr>
              <w:t>10.05.2022</w:t>
            </w:r>
            <w:r w:rsidRPr="004416BA">
              <w:rPr>
                <w:rFonts w:cs="Arial"/>
                <w:b/>
                <w:sz w:val="36"/>
                <w:szCs w:val="36"/>
              </w:rPr>
              <w:t>, 1</w:t>
            </w:r>
            <w:r>
              <w:rPr>
                <w:rFonts w:cs="Arial"/>
                <w:b/>
                <w:sz w:val="36"/>
                <w:szCs w:val="36"/>
              </w:rPr>
              <w:t>0</w:t>
            </w:r>
            <w:r w:rsidRPr="004416BA">
              <w:rPr>
                <w:rFonts w:cs="Arial"/>
                <w:b/>
                <w:sz w:val="36"/>
                <w:szCs w:val="36"/>
              </w:rPr>
              <w:t>:00 Uhr</w:t>
            </w:r>
          </w:p>
          <w:p w14:paraId="142B8644" w14:textId="41E6E2E5" w:rsidR="005D1C44" w:rsidRPr="00CC55ED" w:rsidRDefault="00DC31D3" w:rsidP="005D1C44">
            <w:pPr>
              <w:spacing w:line="280" w:lineRule="atLeast"/>
              <w:rPr>
                <w:noProof/>
              </w:rPr>
            </w:pPr>
            <w:r>
              <w:rPr>
                <w:rFonts w:cs="Arial"/>
                <w:sz w:val="36"/>
                <w:szCs w:val="36"/>
              </w:rPr>
              <w:t>Award</w:t>
            </w:r>
            <w:r w:rsidR="00511207">
              <w:rPr>
                <w:rFonts w:cs="Arial"/>
                <w:sz w:val="36"/>
                <w:szCs w:val="36"/>
              </w:rPr>
              <w:t>s</w:t>
            </w:r>
            <w:r>
              <w:rPr>
                <w:rFonts w:cs="Arial"/>
                <w:sz w:val="36"/>
                <w:szCs w:val="36"/>
              </w:rPr>
              <w:t xml:space="preserve"> der PCIM Europe Konferenz 2022 </w:t>
            </w:r>
            <w:r w:rsidR="00511207">
              <w:rPr>
                <w:rFonts w:cs="Arial"/>
                <w:sz w:val="36"/>
                <w:szCs w:val="36"/>
              </w:rPr>
              <w:t>vergeben</w:t>
            </w:r>
          </w:p>
          <w:p w14:paraId="073D542A" w14:textId="77777777" w:rsidR="00D362FB" w:rsidRDefault="00D362FB" w:rsidP="00E52C42">
            <w:pPr>
              <w:spacing w:line="280" w:lineRule="atLeast"/>
              <w:rPr>
                <w:noProof/>
              </w:rPr>
            </w:pPr>
          </w:p>
          <w:p w14:paraId="38FCDF65" w14:textId="0DF80E91" w:rsidR="00A77987" w:rsidRPr="00212C73" w:rsidRDefault="00885C41" w:rsidP="00A77987">
            <w:pPr>
              <w:spacing w:line="280" w:lineRule="atLeast"/>
              <w:ind w:right="28"/>
              <w:rPr>
                <w:rFonts w:cs="Arial"/>
                <w:b/>
                <w:szCs w:val="22"/>
              </w:rPr>
            </w:pPr>
            <w:r>
              <w:rPr>
                <w:rFonts w:cs="Arial"/>
                <w:b/>
                <w:szCs w:val="22"/>
              </w:rPr>
              <w:t>Neues Awardkonzept im Rahmen der PCIM Europe Konferenz: Drei Best Paper A</w:t>
            </w:r>
            <w:r w:rsidR="00511207">
              <w:rPr>
                <w:rFonts w:cs="Arial"/>
                <w:b/>
                <w:szCs w:val="22"/>
              </w:rPr>
              <w:t>ward</w:t>
            </w:r>
            <w:r>
              <w:rPr>
                <w:rFonts w:cs="Arial"/>
                <w:b/>
                <w:szCs w:val="22"/>
              </w:rPr>
              <w:t xml:space="preserve">, ein Young Engineer Award sowie ein Young Researcher Award </w:t>
            </w:r>
            <w:r w:rsidR="00511207">
              <w:rPr>
                <w:rFonts w:cs="Arial"/>
                <w:b/>
                <w:szCs w:val="22"/>
              </w:rPr>
              <w:t xml:space="preserve">Gewinner wurden während der Eröffnungsveranstaltung </w:t>
            </w:r>
            <w:r w:rsidR="00427517">
              <w:rPr>
                <w:rFonts w:cs="Arial"/>
                <w:b/>
                <w:szCs w:val="22"/>
              </w:rPr>
              <w:t xml:space="preserve">am 10.05.2022 in Nürnberg </w:t>
            </w:r>
            <w:r w:rsidR="00511207">
              <w:rPr>
                <w:rFonts w:cs="Arial"/>
                <w:b/>
                <w:szCs w:val="22"/>
              </w:rPr>
              <w:t xml:space="preserve">ausgezeichnet. </w:t>
            </w:r>
          </w:p>
          <w:p w14:paraId="40C11ED3" w14:textId="77777777" w:rsidR="002F0577" w:rsidRDefault="002F0577" w:rsidP="002F0577"/>
          <w:p w14:paraId="7540CA94" w14:textId="4C99342B" w:rsidR="00511207" w:rsidRDefault="00AA7D42" w:rsidP="00511207">
            <w:r>
              <w:t>Mit der</w:t>
            </w:r>
            <w:r w:rsidR="00511207">
              <w:t xml:space="preserve"> jährliche</w:t>
            </w:r>
            <w:r>
              <w:t>n</w:t>
            </w:r>
            <w:r w:rsidR="00511207">
              <w:t xml:space="preserve"> Awardverleihung prämiert die PCIM Europe Konferenz bereits seit 2008 herausragende Beiträge und fördert junge Talente in der Leistungselektronik</w:t>
            </w:r>
            <w:r>
              <w:t>b</w:t>
            </w:r>
            <w:r w:rsidR="00511207">
              <w:t xml:space="preserve">ranche. Die preisgekrönten Einreichungen werden im Rahmen der PCIM Europe Konferenz vom 10.05.2022 bis 12.05.2022 persönlich von den Gewinnern präsentiert. </w:t>
            </w:r>
          </w:p>
          <w:p w14:paraId="51A878F7" w14:textId="77777777" w:rsidR="00511207" w:rsidRDefault="00511207" w:rsidP="00B503D0">
            <w:pPr>
              <w:spacing w:line="288" w:lineRule="auto"/>
              <w:contextualSpacing/>
            </w:pPr>
          </w:p>
          <w:p w14:paraId="3ABC330D" w14:textId="7CB52E6A" w:rsidR="00511207" w:rsidRDefault="00511207" w:rsidP="00B503D0">
            <w:pPr>
              <w:spacing w:line="288" w:lineRule="auto"/>
              <w:contextualSpacing/>
            </w:pPr>
            <w:r>
              <w:t xml:space="preserve">Während der zweijährigen Pause der PCIM Europe Konferenz wurde das </w:t>
            </w:r>
            <w:r w:rsidR="00F11395">
              <w:t>Konzept der Awards</w:t>
            </w:r>
            <w:r>
              <w:t xml:space="preserve"> </w:t>
            </w:r>
            <w:r w:rsidR="00AA7D42">
              <w:t>weiterentwickelt</w:t>
            </w:r>
            <w:r w:rsidR="00F11395">
              <w:t xml:space="preserve">. </w:t>
            </w:r>
            <w:r w:rsidR="00AA7D42">
              <w:t>Erstmals</w:t>
            </w:r>
            <w:r w:rsidR="00F11395">
              <w:t xml:space="preserve"> </w:t>
            </w:r>
            <w:r w:rsidR="00CD2B11">
              <w:t>werden</w:t>
            </w:r>
            <w:r w:rsidR="00F11395">
              <w:t xml:space="preserve"> drei </w:t>
            </w:r>
            <w:r w:rsidR="009B3E00">
              <w:t xml:space="preserve">Best Paper Awards </w:t>
            </w:r>
            <w:r w:rsidR="00AA7D42">
              <w:t>sowie</w:t>
            </w:r>
            <w:r w:rsidR="009B3E00">
              <w:t xml:space="preserve"> </w:t>
            </w:r>
            <w:r w:rsidR="00AA7D42">
              <w:t xml:space="preserve">neben dem Young Engineer Award auch </w:t>
            </w:r>
            <w:r w:rsidR="009B3E00">
              <w:t xml:space="preserve">der neue </w:t>
            </w:r>
            <w:r w:rsidR="003F33BD">
              <w:t>Young</w:t>
            </w:r>
            <w:r w:rsidR="009B3E00">
              <w:t xml:space="preserve"> Researcher Award</w:t>
            </w:r>
            <w:r w:rsidR="00220C8A">
              <w:t xml:space="preserve"> </w:t>
            </w:r>
            <w:r w:rsidR="00AA7D42">
              <w:t>verliehen</w:t>
            </w:r>
            <w:r w:rsidR="009B3E00">
              <w:t xml:space="preserve">. </w:t>
            </w:r>
          </w:p>
          <w:p w14:paraId="56060B04" w14:textId="77777777" w:rsidR="009B3E00" w:rsidRDefault="009B3E00" w:rsidP="00B503D0">
            <w:pPr>
              <w:spacing w:line="288" w:lineRule="auto"/>
              <w:contextualSpacing/>
            </w:pPr>
          </w:p>
          <w:p w14:paraId="236CDF97" w14:textId="6D0A0AD4" w:rsidR="001B449E" w:rsidRDefault="00220C8A" w:rsidP="009B3E00">
            <w:r>
              <w:t xml:space="preserve">Aus über 300 Einreichungen hatte </w:t>
            </w:r>
            <w:r w:rsidR="00410367">
              <w:t>der Fachbeirat</w:t>
            </w:r>
            <w:bookmarkStart w:id="3" w:name="_GoBack"/>
            <w:bookmarkEnd w:id="3"/>
            <w:r>
              <w:t xml:space="preserve"> der PCIM Europe unter dem Vorsitz von Prof. Dr. Leo Lorenz, ECPE, Deutschland, die fünf Gewinner </w:t>
            </w:r>
            <w:r w:rsidR="00AA7D42">
              <w:t>ausgewählt</w:t>
            </w:r>
            <w:r>
              <w:t xml:space="preserve">. </w:t>
            </w:r>
            <w:r w:rsidR="009B3E00" w:rsidRPr="00220C8A">
              <w:t xml:space="preserve">Die </w:t>
            </w:r>
            <w:r w:rsidR="00AA7D42">
              <w:t>Vergabe der Awards</w:t>
            </w:r>
            <w:r w:rsidR="009B3E00" w:rsidRPr="000B7BE1">
              <w:t xml:space="preserve"> erfolgte aufgrund </w:t>
            </w:r>
            <w:r w:rsidR="00AA7D42">
              <w:t xml:space="preserve">von </w:t>
            </w:r>
            <w:r w:rsidR="009B3E00">
              <w:t xml:space="preserve">Aktualität und Relevanz der Thematik sowie </w:t>
            </w:r>
            <w:r>
              <w:t>der Qualität</w:t>
            </w:r>
            <w:r w:rsidR="009B3E00">
              <w:t xml:space="preserve"> der eingereichten</w:t>
            </w:r>
            <w:r>
              <w:t xml:space="preserve"> praxisbezogenen</w:t>
            </w:r>
            <w:r w:rsidR="009B3E00">
              <w:t xml:space="preserve"> Vorträge. </w:t>
            </w:r>
          </w:p>
          <w:p w14:paraId="4CA9AE52" w14:textId="77777777" w:rsidR="001B449E" w:rsidRDefault="001B449E" w:rsidP="009B3E00"/>
          <w:p w14:paraId="7388BCA6" w14:textId="6B07DBEC" w:rsidR="00885C41" w:rsidRDefault="009B3E00" w:rsidP="001B449E">
            <w:r>
              <w:t xml:space="preserve">Der Best Paper Award </w:t>
            </w:r>
            <w:r w:rsidR="001B449E">
              <w:t>prämiert</w:t>
            </w:r>
            <w:r>
              <w:t xml:space="preserve"> die besten </w:t>
            </w:r>
            <w:r w:rsidR="001B449E">
              <w:t xml:space="preserve">drei </w:t>
            </w:r>
            <w:r>
              <w:t>Einreichungen</w:t>
            </w:r>
            <w:r w:rsidR="00AA7D42">
              <w:t xml:space="preserve"> insgesamt</w:t>
            </w:r>
            <w:r>
              <w:t xml:space="preserve">. </w:t>
            </w:r>
            <w:r w:rsidR="001B449E">
              <w:t xml:space="preserve">Ingenieure </w:t>
            </w:r>
            <w:r w:rsidR="00AA7D42">
              <w:t>im</w:t>
            </w:r>
            <w:r w:rsidR="001B449E">
              <w:t xml:space="preserve"> Alter </w:t>
            </w:r>
            <w:r w:rsidR="00AA7D42">
              <w:t xml:space="preserve">von maximal </w:t>
            </w:r>
            <w:r w:rsidR="001B449E">
              <w:t xml:space="preserve">30 Jahren können sich </w:t>
            </w:r>
            <w:r w:rsidR="00AA7D42">
              <w:t xml:space="preserve">darüber hinaus </w:t>
            </w:r>
            <w:r w:rsidR="001B449E">
              <w:t xml:space="preserve">für den Young Engineer Award bewerben. </w:t>
            </w:r>
            <w:r>
              <w:t xml:space="preserve">Erstmals in diesem Jahr zeichnet der Young Researcher Award einen Autor aus dem Bereich der Wissenschaft und Forschungseinrichtungen im Alter von bis zu 30 Jahren aus. </w:t>
            </w:r>
            <w:r w:rsidRPr="001B449E">
              <w:t xml:space="preserve">Die </w:t>
            </w:r>
            <w:r>
              <w:t>Gewinner der Awards erhalten jeweils ein Preisgeld in Höhe von 1.000 Euro.</w:t>
            </w:r>
            <w:r w:rsidR="001B449E">
              <w:t xml:space="preserve"> </w:t>
            </w:r>
          </w:p>
          <w:p w14:paraId="4AD711F8" w14:textId="77777777" w:rsidR="00796B7D" w:rsidRDefault="00796B7D" w:rsidP="002C1098"/>
          <w:p w14:paraId="26AFDA03" w14:textId="50666BA0" w:rsidR="00E65700" w:rsidRDefault="00E65700" w:rsidP="002C1098">
            <w:r>
              <w:t xml:space="preserve">Die Gewinner der drei </w:t>
            </w:r>
            <w:r w:rsidRPr="003142A5">
              <w:rPr>
                <w:b/>
              </w:rPr>
              <w:t>PCIM Europe Best Paper Awards</w:t>
            </w:r>
            <w:r>
              <w:t xml:space="preserve"> sind: </w:t>
            </w:r>
          </w:p>
          <w:p w14:paraId="6685A5F6" w14:textId="77777777" w:rsidR="00E65700" w:rsidRDefault="00E65700" w:rsidP="002C1098"/>
          <w:p w14:paraId="303CC0C9" w14:textId="4C73DEB4" w:rsidR="00E65700" w:rsidRPr="0058258A" w:rsidRDefault="000B7BE1" w:rsidP="002C1098">
            <w:pPr>
              <w:rPr>
                <w:b/>
                <w:lang w:val="en-US"/>
              </w:rPr>
            </w:pPr>
            <w:r w:rsidRPr="0058258A">
              <w:rPr>
                <w:b/>
                <w:lang w:val="en-US"/>
              </w:rPr>
              <w:t>Matthias</w:t>
            </w:r>
            <w:r w:rsidR="00E65700" w:rsidRPr="0058258A">
              <w:rPr>
                <w:b/>
                <w:lang w:val="en-US"/>
              </w:rPr>
              <w:t xml:space="preserve"> Kasper, Infineon Technologies, Österreich</w:t>
            </w:r>
          </w:p>
          <w:p w14:paraId="2D469ADD" w14:textId="1AB5AD05" w:rsidR="00E65700" w:rsidRDefault="00E65700" w:rsidP="002C1098">
            <w:pPr>
              <w:rPr>
                <w:lang w:val="en-US"/>
              </w:rPr>
            </w:pPr>
            <w:r w:rsidRPr="00E65700">
              <w:rPr>
                <w:lang w:val="en-US"/>
              </w:rPr>
              <w:t>Next Generation GaN-Based Architectures: From 240W USB-C Adapters to 11kW EV On-Board Chargers with Ultra-High Power Density and Wide Output Voltage Range</w:t>
            </w:r>
          </w:p>
          <w:p w14:paraId="46BB4985" w14:textId="77777777" w:rsidR="00972D32" w:rsidRDefault="00972D32" w:rsidP="002C1098">
            <w:pPr>
              <w:rPr>
                <w:lang w:val="en-US"/>
              </w:rPr>
            </w:pPr>
          </w:p>
          <w:p w14:paraId="08AFDA05" w14:textId="14337855" w:rsidR="00E65700" w:rsidRPr="000B7BE1" w:rsidRDefault="00E65700" w:rsidP="002C1098">
            <w:pPr>
              <w:rPr>
                <w:b/>
                <w:lang w:val="en-US"/>
              </w:rPr>
            </w:pPr>
            <w:r w:rsidRPr="000B7BE1">
              <w:rPr>
                <w:b/>
                <w:lang w:val="en-US"/>
              </w:rPr>
              <w:t>Mario Schweizer, ABB, Schweiz</w:t>
            </w:r>
          </w:p>
          <w:p w14:paraId="325E16EB" w14:textId="798F21DB" w:rsidR="00E65700" w:rsidRDefault="00E65700" w:rsidP="002C1098">
            <w:pPr>
              <w:rPr>
                <w:lang w:val="en-US"/>
              </w:rPr>
            </w:pPr>
            <w:r w:rsidRPr="00E65700">
              <w:rPr>
                <w:lang w:val="en-US"/>
              </w:rPr>
              <w:t>Frequency Control and Inertia Provision with UPS</w:t>
            </w:r>
          </w:p>
          <w:p w14:paraId="0312D19D" w14:textId="77777777" w:rsidR="00E65700" w:rsidRDefault="00E65700" w:rsidP="002C1098">
            <w:pPr>
              <w:rPr>
                <w:lang w:val="en-US"/>
              </w:rPr>
            </w:pPr>
          </w:p>
          <w:p w14:paraId="04001BAD" w14:textId="0FE4511B" w:rsidR="00E65700" w:rsidRPr="000B7BE1" w:rsidRDefault="00E65700" w:rsidP="002C1098">
            <w:pPr>
              <w:rPr>
                <w:b/>
                <w:lang w:val="en-US"/>
              </w:rPr>
            </w:pPr>
            <w:r w:rsidRPr="000B7BE1">
              <w:rPr>
                <w:b/>
                <w:lang w:val="en-US"/>
              </w:rPr>
              <w:lastRenderedPageBreak/>
              <w:t>Nikolina Djekanovic, Power Electronics Laboratory, EPFL, Schweiz</w:t>
            </w:r>
          </w:p>
          <w:p w14:paraId="450834AD" w14:textId="4E2DF45E" w:rsidR="00E65700" w:rsidRDefault="00E65700" w:rsidP="002C1098">
            <w:pPr>
              <w:rPr>
                <w:lang w:val="en-US"/>
              </w:rPr>
            </w:pPr>
            <w:r w:rsidRPr="00E65700">
              <w:rPr>
                <w:lang w:val="en-US"/>
              </w:rPr>
              <w:t>Design Optimization of a MW-level Medium Frequency Transformer</w:t>
            </w:r>
          </w:p>
          <w:p w14:paraId="540492DD" w14:textId="77777777" w:rsidR="00E65700" w:rsidRDefault="00E65700" w:rsidP="002C1098">
            <w:pPr>
              <w:rPr>
                <w:lang w:val="en-US"/>
              </w:rPr>
            </w:pPr>
          </w:p>
          <w:p w14:paraId="4E830FFC" w14:textId="29ACC9D8" w:rsidR="00E65700" w:rsidRPr="0058258A" w:rsidRDefault="001B449E" w:rsidP="002C1098">
            <w:r>
              <w:t xml:space="preserve">Mit dem </w:t>
            </w:r>
            <w:r w:rsidR="0058258A" w:rsidRPr="0058258A">
              <w:rPr>
                <w:b/>
              </w:rPr>
              <w:t>PCIM Europe</w:t>
            </w:r>
            <w:r w:rsidR="0058258A">
              <w:t xml:space="preserve"> </w:t>
            </w:r>
            <w:r w:rsidR="00E65700" w:rsidRPr="0058258A">
              <w:rPr>
                <w:b/>
              </w:rPr>
              <w:t>Young Engineer Award</w:t>
            </w:r>
            <w:r w:rsidR="00E65700" w:rsidRPr="0058258A">
              <w:t xml:space="preserve"> </w:t>
            </w:r>
            <w:r>
              <w:t>wurde ausgezeichnet</w:t>
            </w:r>
            <w:r w:rsidR="00E65700" w:rsidRPr="0058258A">
              <w:t xml:space="preserve">: </w:t>
            </w:r>
          </w:p>
          <w:p w14:paraId="08EAE21E" w14:textId="77777777" w:rsidR="00E65700" w:rsidRPr="0058258A" w:rsidRDefault="00E65700" w:rsidP="002C1098"/>
          <w:p w14:paraId="03F0C303" w14:textId="2D97094D" w:rsidR="00E65700" w:rsidRPr="00213286" w:rsidRDefault="00E65700" w:rsidP="002C1098">
            <w:pPr>
              <w:rPr>
                <w:b/>
                <w:lang w:val="en-US"/>
              </w:rPr>
            </w:pPr>
            <w:r w:rsidRPr="00213286">
              <w:rPr>
                <w:b/>
                <w:lang w:val="en-US"/>
              </w:rPr>
              <w:t>Fabian Nehr, SEMIKRON Elektronik, Deutschland</w:t>
            </w:r>
          </w:p>
          <w:p w14:paraId="35F14914" w14:textId="44477217" w:rsidR="00E65700" w:rsidRDefault="00E65700" w:rsidP="002C1098">
            <w:pPr>
              <w:rPr>
                <w:lang w:val="en-US"/>
              </w:rPr>
            </w:pPr>
            <w:r w:rsidRPr="00E65700">
              <w:rPr>
                <w:lang w:val="en-US"/>
              </w:rPr>
              <w:t>Consequences of Temperature Imbalance for the Interpretation of Virtual Junction Temperature Provided by the VCE(T)-Method</w:t>
            </w:r>
          </w:p>
          <w:p w14:paraId="453CAA2C" w14:textId="77777777" w:rsidR="000B7BE1" w:rsidRDefault="000B7BE1" w:rsidP="002C1098">
            <w:pPr>
              <w:rPr>
                <w:lang w:val="en-US"/>
              </w:rPr>
            </w:pPr>
          </w:p>
          <w:p w14:paraId="43592E47" w14:textId="00BC529A" w:rsidR="000B7BE1" w:rsidRPr="0058258A" w:rsidRDefault="000B7BE1" w:rsidP="002C1098">
            <w:r w:rsidRPr="0058258A">
              <w:t xml:space="preserve">Der Gewinner des </w:t>
            </w:r>
            <w:r w:rsidR="0058258A" w:rsidRPr="0058258A">
              <w:rPr>
                <w:b/>
              </w:rPr>
              <w:t>PCIM Europe</w:t>
            </w:r>
            <w:r w:rsidR="0058258A">
              <w:t xml:space="preserve"> </w:t>
            </w:r>
            <w:r w:rsidRPr="0058258A">
              <w:rPr>
                <w:b/>
              </w:rPr>
              <w:t>Young Researcher Award</w:t>
            </w:r>
            <w:r w:rsidRPr="0058258A">
              <w:t xml:space="preserve"> ist: </w:t>
            </w:r>
          </w:p>
          <w:p w14:paraId="481CB81A" w14:textId="77777777" w:rsidR="000B7BE1" w:rsidRPr="0058258A" w:rsidRDefault="000B7BE1" w:rsidP="002C1098"/>
          <w:p w14:paraId="10CFA54D" w14:textId="749A6E03" w:rsidR="000B7BE1" w:rsidRPr="0058258A" w:rsidRDefault="000B7BE1" w:rsidP="002C1098">
            <w:pPr>
              <w:rPr>
                <w:b/>
              </w:rPr>
            </w:pPr>
            <w:r w:rsidRPr="0058258A">
              <w:rPr>
                <w:b/>
              </w:rPr>
              <w:t>Salvatore Race, ETH Zurich, Schweiz</w:t>
            </w:r>
          </w:p>
          <w:p w14:paraId="637B5D87" w14:textId="10472C51" w:rsidR="000B7BE1" w:rsidRPr="00E65700" w:rsidRDefault="000B7BE1" w:rsidP="002C1098">
            <w:pPr>
              <w:rPr>
                <w:lang w:val="en-US"/>
              </w:rPr>
            </w:pPr>
            <w:r w:rsidRPr="000B7BE1">
              <w:rPr>
                <w:lang w:val="en-US"/>
              </w:rPr>
              <w:t>Towards Digital Twins for the Optimization of Power Electronic Switching Cells with Discrete SiC Power MOSFETs</w:t>
            </w:r>
          </w:p>
          <w:p w14:paraId="5A5961D2" w14:textId="77777777" w:rsidR="000B7BE1" w:rsidRPr="00796B7D" w:rsidRDefault="000B7BE1" w:rsidP="002C1098">
            <w:pPr>
              <w:rPr>
                <w:lang w:val="en-US"/>
              </w:rPr>
            </w:pPr>
          </w:p>
          <w:p w14:paraId="734C7489" w14:textId="41D98D7D" w:rsidR="00B83651" w:rsidRPr="00B83651" w:rsidRDefault="00B83651" w:rsidP="002C1098">
            <w:pPr>
              <w:rPr>
                <w:b/>
              </w:rPr>
            </w:pPr>
            <w:r w:rsidRPr="00B83651">
              <w:rPr>
                <w:b/>
              </w:rPr>
              <w:t xml:space="preserve">Kurzfassungen der PCIM Europe 2022 Best Papers (Konferenzsprache Englisch): </w:t>
            </w:r>
          </w:p>
          <w:p w14:paraId="5215BB84" w14:textId="77777777" w:rsidR="00B83651" w:rsidRDefault="00B83651" w:rsidP="002C1098"/>
          <w:p w14:paraId="5C8485E1" w14:textId="77777777" w:rsidR="00B83651" w:rsidRPr="00B83651" w:rsidRDefault="00B83651" w:rsidP="00B83651">
            <w:pPr>
              <w:rPr>
                <w:b/>
                <w:lang w:val="en-US"/>
              </w:rPr>
            </w:pPr>
            <w:r w:rsidRPr="00B83651">
              <w:rPr>
                <w:b/>
                <w:lang w:val="en-US"/>
              </w:rPr>
              <w:t>Next Generation GaN-Based Architectures: From 240W USB-C Adapters to 11kW EV On-Board Chargers with Ultra-High Power Density and Wide Output Voltage Range</w:t>
            </w:r>
          </w:p>
          <w:p w14:paraId="26C79F41" w14:textId="7C4970EC" w:rsidR="00B83651" w:rsidRDefault="00B83651" w:rsidP="002C1098">
            <w:pPr>
              <w:rPr>
                <w:lang w:val="en-US"/>
              </w:rPr>
            </w:pPr>
            <w:r w:rsidRPr="00B83651">
              <w:rPr>
                <w:lang w:val="en-US"/>
              </w:rPr>
              <w:t xml:space="preserve">Matthias Kasper, Jon Azurza Anderson, Gerald Deboy, Infineon Technologies, A; Michael Haider, Power Electronic Systems Laboratory, CH </w:t>
            </w:r>
          </w:p>
          <w:p w14:paraId="4AB87CF7" w14:textId="77777777" w:rsidR="00B83651" w:rsidRDefault="00B83651" w:rsidP="002C1098">
            <w:pPr>
              <w:rPr>
                <w:lang w:val="en-US"/>
              </w:rPr>
            </w:pPr>
          </w:p>
          <w:p w14:paraId="287E02A0" w14:textId="561D6E52" w:rsidR="00B83651" w:rsidRDefault="00B83651" w:rsidP="002C1098">
            <w:pPr>
              <w:rPr>
                <w:lang w:val="en-US"/>
              </w:rPr>
            </w:pPr>
            <w:r w:rsidRPr="00B83651">
              <w:rPr>
                <w:lang w:val="en-US"/>
              </w:rPr>
              <w:t xml:space="preserve">The inherent advantages of GaN devices compared </w:t>
            </w:r>
            <w:r>
              <w:rPr>
                <w:lang w:val="en-US"/>
              </w:rPr>
              <w:t xml:space="preserve">to their Silicon </w:t>
            </w:r>
            <w:r w:rsidRPr="00B83651">
              <w:rPr>
                <w:lang w:val="en-US"/>
              </w:rPr>
              <w:t>counte</w:t>
            </w:r>
            <w:r>
              <w:rPr>
                <w:lang w:val="en-US"/>
              </w:rPr>
              <w:t xml:space="preserve">rparts, i.e. absence of reverse </w:t>
            </w:r>
            <w:r w:rsidRPr="00B83651">
              <w:rPr>
                <w:lang w:val="en-US"/>
              </w:rPr>
              <w:t>recovery charge, lower output and gate charges, etc., enable the operation of power electronic systems</w:t>
            </w:r>
            <w:r>
              <w:rPr>
                <w:lang w:val="en-US"/>
              </w:rPr>
              <w:t xml:space="preserve"> </w:t>
            </w:r>
            <w:r w:rsidRPr="00B83651">
              <w:rPr>
                <w:lang w:val="en-US"/>
              </w:rPr>
              <w:t>based on GaN devices at considerably higher switching frequencies. This facilitates the design of systems</w:t>
            </w:r>
            <w:r>
              <w:rPr>
                <w:lang w:val="en-US"/>
              </w:rPr>
              <w:t xml:space="preserve"> </w:t>
            </w:r>
            <w:r w:rsidRPr="00B83651">
              <w:rPr>
                <w:lang w:val="en-US"/>
              </w:rPr>
              <w:t>with power densities far beyond the limits of state-of-the-art Si systems, which is demonstrated in this</w:t>
            </w:r>
            <w:r>
              <w:rPr>
                <w:lang w:val="en-US"/>
              </w:rPr>
              <w:t xml:space="preserve"> </w:t>
            </w:r>
            <w:r w:rsidRPr="00B83651">
              <w:rPr>
                <w:lang w:val="en-US"/>
              </w:rPr>
              <w:t>paper with two very different examples: a 240 W mobile charger with two USB-C output ports covering</w:t>
            </w:r>
            <w:r>
              <w:rPr>
                <w:lang w:val="en-US"/>
              </w:rPr>
              <w:t xml:space="preserve"> </w:t>
            </w:r>
            <w:r w:rsidRPr="00B83651">
              <w:rPr>
                <w:lang w:val="en-US"/>
              </w:rPr>
              <w:t>very wide output voltages of 5-48 V, and a three-phase 11 kW on-board charger with an output voltage</w:t>
            </w:r>
            <w:r>
              <w:rPr>
                <w:lang w:val="en-US"/>
              </w:rPr>
              <w:t xml:space="preserve"> </w:t>
            </w:r>
            <w:r w:rsidRPr="00B83651">
              <w:rPr>
                <w:lang w:val="en-US"/>
              </w:rPr>
              <w:t>range of 250-1000 V.</w:t>
            </w:r>
            <w:r w:rsidRPr="00B83651">
              <w:rPr>
                <w:lang w:val="en-US"/>
              </w:rPr>
              <w:cr/>
            </w:r>
          </w:p>
          <w:p w14:paraId="3E686D59" w14:textId="77777777" w:rsidR="00B83651" w:rsidRPr="00B83651" w:rsidRDefault="00B83651" w:rsidP="00B83651">
            <w:pPr>
              <w:rPr>
                <w:b/>
                <w:lang w:val="en-US"/>
              </w:rPr>
            </w:pPr>
            <w:r w:rsidRPr="00B83651">
              <w:rPr>
                <w:b/>
                <w:lang w:val="en-US"/>
              </w:rPr>
              <w:t>Frequency Control and Inertia Provision with UPS</w:t>
            </w:r>
          </w:p>
          <w:p w14:paraId="05377564" w14:textId="57512350" w:rsidR="00B83651" w:rsidRDefault="00B83651" w:rsidP="002C1098">
            <w:pPr>
              <w:rPr>
                <w:lang w:val="en-US"/>
              </w:rPr>
            </w:pPr>
            <w:r w:rsidRPr="00B83651">
              <w:rPr>
                <w:lang w:val="en-US"/>
              </w:rPr>
              <w:t>Mario Schweizer, Nicola Notari, ABB, CH; Silvio Colombi, ABB Industrial Solutions, CH; Ivan Furlan, University of Applied Sciences and Arts of Southern Switzerland, CH</w:t>
            </w:r>
          </w:p>
          <w:p w14:paraId="27191DF5" w14:textId="77777777" w:rsidR="00695979" w:rsidRDefault="00695979" w:rsidP="002C1098">
            <w:pPr>
              <w:rPr>
                <w:lang w:val="en-US"/>
              </w:rPr>
            </w:pPr>
          </w:p>
          <w:p w14:paraId="099EFBCD" w14:textId="0F5518E6" w:rsidR="00695979" w:rsidRDefault="00695979" w:rsidP="002C1098">
            <w:pPr>
              <w:rPr>
                <w:lang w:val="en-US"/>
              </w:rPr>
            </w:pPr>
            <w:r>
              <w:rPr>
                <w:lang w:val="en-US"/>
              </w:rPr>
              <w:t>I</w:t>
            </w:r>
            <w:r w:rsidRPr="00695979">
              <w:rPr>
                <w:lang w:val="en-US"/>
              </w:rPr>
              <w:t>n several countries, grid operators have started to introduce novel reserve market products that are</w:t>
            </w:r>
            <w:r>
              <w:rPr>
                <w:lang w:val="en-US"/>
              </w:rPr>
              <w:t xml:space="preserve"> </w:t>
            </w:r>
            <w:r w:rsidRPr="00695979">
              <w:rPr>
                <w:lang w:val="en-US"/>
              </w:rPr>
              <w:t xml:space="preserve">technology-open and allow power electronic converter interfaced </w:t>
            </w:r>
            <w:r>
              <w:rPr>
                <w:lang w:val="en-US"/>
              </w:rPr>
              <w:t>assets, such as BESS or UPS sys</w:t>
            </w:r>
            <w:r w:rsidRPr="00695979">
              <w:rPr>
                <w:lang w:val="en-US"/>
              </w:rPr>
              <w:t>tems, to provide ancillary services. In this paper, the provision of frequency control and virtual inertia</w:t>
            </w:r>
            <w:r>
              <w:rPr>
                <w:lang w:val="en-US"/>
              </w:rPr>
              <w:t xml:space="preserve"> </w:t>
            </w:r>
            <w:r w:rsidRPr="00695979">
              <w:rPr>
                <w:lang w:val="en-US"/>
              </w:rPr>
              <w:t>with a double conversion UPS is demonstrated. A novel control algorithm is presented that emulates</w:t>
            </w:r>
            <w:r>
              <w:rPr>
                <w:lang w:val="en-US"/>
              </w:rPr>
              <w:t xml:space="preserve"> </w:t>
            </w:r>
            <w:r w:rsidRPr="00695979">
              <w:rPr>
                <w:lang w:val="en-US"/>
              </w:rPr>
              <w:t>inertia accurately without calculation of the frequency derivative. The algorithm is tested in the laboratory</w:t>
            </w:r>
            <w:r>
              <w:rPr>
                <w:lang w:val="en-US"/>
              </w:rPr>
              <w:t xml:space="preserve"> </w:t>
            </w:r>
            <w:r w:rsidRPr="00695979">
              <w:rPr>
                <w:lang w:val="en-US"/>
              </w:rPr>
              <w:t>on a 250 kW unit of ABBs recently launched modular UPS system MegaFlex.</w:t>
            </w:r>
            <w:r w:rsidRPr="00695979">
              <w:rPr>
                <w:lang w:val="en-US"/>
              </w:rPr>
              <w:cr/>
            </w:r>
          </w:p>
          <w:p w14:paraId="4EA8E534" w14:textId="77777777" w:rsidR="00695979" w:rsidRDefault="00695979" w:rsidP="002C1098">
            <w:pPr>
              <w:rPr>
                <w:lang w:val="en-US"/>
              </w:rPr>
            </w:pPr>
          </w:p>
          <w:p w14:paraId="406DD7D4" w14:textId="77777777" w:rsidR="00695979" w:rsidRDefault="00695979" w:rsidP="002C1098">
            <w:pPr>
              <w:rPr>
                <w:lang w:val="en-US"/>
              </w:rPr>
            </w:pPr>
          </w:p>
          <w:p w14:paraId="50FDB4FC" w14:textId="77777777" w:rsidR="00695979" w:rsidRDefault="00695979" w:rsidP="002C1098">
            <w:pPr>
              <w:rPr>
                <w:lang w:val="en-US"/>
              </w:rPr>
            </w:pPr>
          </w:p>
          <w:p w14:paraId="38A0DBD5" w14:textId="77777777" w:rsidR="00695979" w:rsidRPr="00695979" w:rsidRDefault="00695979" w:rsidP="00695979">
            <w:pPr>
              <w:rPr>
                <w:b/>
                <w:lang w:val="en-US"/>
              </w:rPr>
            </w:pPr>
            <w:r w:rsidRPr="00695979">
              <w:rPr>
                <w:b/>
                <w:lang w:val="en-US"/>
              </w:rPr>
              <w:lastRenderedPageBreak/>
              <w:t>Design Optimization of a MW-level Medium Frequency Transformer</w:t>
            </w:r>
          </w:p>
          <w:p w14:paraId="3C72C22D" w14:textId="77777777" w:rsidR="00695979" w:rsidRDefault="00695979" w:rsidP="00695979">
            <w:pPr>
              <w:tabs>
                <w:tab w:val="left" w:pos="1164"/>
              </w:tabs>
              <w:rPr>
                <w:lang w:val="en-US"/>
              </w:rPr>
            </w:pPr>
            <w:r w:rsidRPr="00695979">
              <w:rPr>
                <w:lang w:val="en-US"/>
              </w:rPr>
              <w:t>Nikolina Djekanovic, Drazen Dujic, Power Electronics Laboratory, EPFL, CH</w:t>
            </w:r>
          </w:p>
          <w:p w14:paraId="45B4FD04" w14:textId="77777777" w:rsidR="00695979" w:rsidRDefault="00695979" w:rsidP="00695979">
            <w:pPr>
              <w:tabs>
                <w:tab w:val="left" w:pos="1164"/>
              </w:tabs>
              <w:rPr>
                <w:lang w:val="en-US"/>
              </w:rPr>
            </w:pPr>
          </w:p>
          <w:p w14:paraId="301500A3" w14:textId="3F286F7B" w:rsidR="00695979" w:rsidRPr="00B83651" w:rsidRDefault="00695979" w:rsidP="00695979">
            <w:pPr>
              <w:tabs>
                <w:tab w:val="left" w:pos="1164"/>
              </w:tabs>
              <w:rPr>
                <w:lang w:val="en-US"/>
              </w:rPr>
            </w:pPr>
            <w:r w:rsidRPr="00695979">
              <w:rPr>
                <w:lang w:val="en-US"/>
              </w:rPr>
              <w:t>Nowadays, with the increased interest in applications dealing with high-p</w:t>
            </w:r>
            <w:r>
              <w:rPr>
                <w:lang w:val="en-US"/>
              </w:rPr>
              <w:t xml:space="preserve">ower medium-voltage conversion, </w:t>
            </w:r>
            <w:r w:rsidRPr="00695979">
              <w:rPr>
                <w:lang w:val="en-US"/>
              </w:rPr>
              <w:t>there is a strong need to master the design of medium-frequency transformers, which are one of the key</w:t>
            </w:r>
            <w:r>
              <w:rPr>
                <w:lang w:val="en-US"/>
              </w:rPr>
              <w:t xml:space="preserve"> </w:t>
            </w:r>
            <w:r w:rsidRPr="00695979">
              <w:rPr>
                <w:lang w:val="en-US"/>
              </w:rPr>
              <w:t>components of modern DC transformers. The paper presents the design and development of a 1</w:t>
            </w:r>
            <w:r>
              <w:rPr>
                <w:lang w:val="en-US"/>
              </w:rPr>
              <w:t xml:space="preserve"> </w:t>
            </w:r>
            <w:r w:rsidRPr="00695979">
              <w:rPr>
                <w:lang w:val="en-US"/>
              </w:rPr>
              <w:t>MW,</w:t>
            </w:r>
            <w:r>
              <w:rPr>
                <w:lang w:val="en-US"/>
              </w:rPr>
              <w:t xml:space="preserve"> </w:t>
            </w:r>
            <w:r w:rsidRPr="00695979">
              <w:rPr>
                <w:lang w:val="en-US"/>
              </w:rPr>
              <w:t>5 kHz core-type transformer prototype, which combines oil-immersed windings, realized as hollow copper</w:t>
            </w:r>
            <w:r>
              <w:rPr>
                <w:lang w:val="en-US"/>
              </w:rPr>
              <w:t xml:space="preserve"> </w:t>
            </w:r>
            <w:r w:rsidRPr="00695979">
              <w:rPr>
                <w:lang w:val="en-US"/>
              </w:rPr>
              <w:t>conductors with internal deionized water cooling, and nanocrystalline magnetic core material. The design</w:t>
            </w:r>
            <w:r>
              <w:rPr>
                <w:lang w:val="en-US"/>
              </w:rPr>
              <w:t xml:space="preserve"> </w:t>
            </w:r>
            <w:r w:rsidRPr="00695979">
              <w:rPr>
                <w:lang w:val="en-US"/>
              </w:rPr>
              <w:t>is achieved with the help of a model-based optimization tool, built around elaborate analysis and modeling</w:t>
            </w:r>
            <w:r>
              <w:rPr>
                <w:lang w:val="en-US"/>
              </w:rPr>
              <w:t xml:space="preserve"> </w:t>
            </w:r>
            <w:r w:rsidRPr="00695979">
              <w:rPr>
                <w:lang w:val="en-US"/>
              </w:rPr>
              <w:t>of medium-frequency transformer speciﬁc phenomenon concerning its electrical operation. Moreover, the</w:t>
            </w:r>
            <w:r>
              <w:rPr>
                <w:lang w:val="en-US"/>
              </w:rPr>
              <w:t xml:space="preserve"> </w:t>
            </w:r>
            <w:r w:rsidRPr="00695979">
              <w:rPr>
                <w:lang w:val="en-US"/>
              </w:rPr>
              <w:t>paper discusses some technical challenges connected to the prototype realization.</w:t>
            </w:r>
            <w:r w:rsidRPr="00695979">
              <w:rPr>
                <w:lang w:val="en-US"/>
              </w:rPr>
              <w:cr/>
            </w:r>
            <w:r>
              <w:rPr>
                <w:lang w:val="en-US"/>
              </w:rPr>
              <w:tab/>
            </w:r>
          </w:p>
          <w:p w14:paraId="7106B749" w14:textId="141E5692" w:rsidR="003142A5" w:rsidRDefault="003142A5" w:rsidP="003142A5">
            <w:pPr>
              <w:rPr>
                <w:b/>
              </w:rPr>
            </w:pPr>
            <w:r w:rsidRPr="00B83651">
              <w:rPr>
                <w:b/>
              </w:rPr>
              <w:t>Kurzfassung de</w:t>
            </w:r>
            <w:r>
              <w:rPr>
                <w:b/>
              </w:rPr>
              <w:t>s</w:t>
            </w:r>
            <w:r w:rsidRPr="00B83651">
              <w:rPr>
                <w:b/>
              </w:rPr>
              <w:t xml:space="preserve"> PCIM Europe 2022 </w:t>
            </w:r>
            <w:r>
              <w:rPr>
                <w:b/>
              </w:rPr>
              <w:t>Young Engineer Award Papers</w:t>
            </w:r>
            <w:r w:rsidRPr="00B83651">
              <w:rPr>
                <w:b/>
              </w:rPr>
              <w:t xml:space="preserve"> (Konferenzsprache Englisch): </w:t>
            </w:r>
          </w:p>
          <w:p w14:paraId="6AEBDBE1" w14:textId="77777777" w:rsidR="003142A5" w:rsidRDefault="003142A5" w:rsidP="003142A5">
            <w:pPr>
              <w:rPr>
                <w:b/>
              </w:rPr>
            </w:pPr>
          </w:p>
          <w:p w14:paraId="5C3B31FF" w14:textId="65F9EFFB" w:rsidR="00195136" w:rsidRPr="00195136" w:rsidRDefault="00195136" w:rsidP="003142A5">
            <w:pPr>
              <w:rPr>
                <w:b/>
                <w:lang w:val="en-US"/>
              </w:rPr>
            </w:pPr>
            <w:r w:rsidRPr="00195136">
              <w:rPr>
                <w:b/>
                <w:lang w:val="en-US"/>
              </w:rPr>
              <w:t>Consequences of Temperature Imbalance for the Interpretation of Virtual Junction Temperature Provided by the VCE(T)-Method</w:t>
            </w:r>
          </w:p>
          <w:p w14:paraId="51042D0C" w14:textId="77777777" w:rsidR="00195136" w:rsidRPr="00195136" w:rsidRDefault="00195136" w:rsidP="00195136">
            <w:r w:rsidRPr="00195136">
              <w:t>Fabian Nehr, Uwe Scheuermann, SEMIKRON Elektronik, D</w:t>
            </w:r>
          </w:p>
          <w:p w14:paraId="2840F9F5" w14:textId="77777777" w:rsidR="000B7BE1" w:rsidRDefault="000B7BE1" w:rsidP="002C1098"/>
          <w:p w14:paraId="5FC1E240" w14:textId="46019923" w:rsidR="00195136" w:rsidRDefault="00195136" w:rsidP="002C1098">
            <w:pPr>
              <w:rPr>
                <w:lang w:val="en-US"/>
              </w:rPr>
            </w:pPr>
            <w:r w:rsidRPr="00195136">
              <w:rPr>
                <w:lang w:val="en-US"/>
              </w:rPr>
              <w:t>The VCE(T)-method is the favored approach to determine the temperature o</w:t>
            </w:r>
            <w:r>
              <w:rPr>
                <w:lang w:val="en-US"/>
              </w:rPr>
              <w:t xml:space="preserve">f IGBTs by utilizing the almost </w:t>
            </w:r>
            <w:r w:rsidRPr="00195136">
              <w:rPr>
                <w:lang w:val="en-US"/>
              </w:rPr>
              <w:t>linear temperature dependence of forward voltage drop at small constant collector current. The method provides a virtual temperature value reflecting an average of the lateral temperature distribution across the IGBT. The present study reveals that averaging is strongly affected, when the lateral temperature gradient is enlarged by reduced load pulse duration and imbalanced heating of paralleled chips. This should be taken into account for interpretation of the virtual temperature value, especially when device aging by power cycling is considered.</w:t>
            </w:r>
            <w:r w:rsidRPr="00195136">
              <w:rPr>
                <w:lang w:val="en-US"/>
              </w:rPr>
              <w:cr/>
            </w:r>
          </w:p>
          <w:p w14:paraId="0DC6A399" w14:textId="4C8E85F4" w:rsidR="00195136" w:rsidRDefault="00195136" w:rsidP="00195136">
            <w:pPr>
              <w:rPr>
                <w:b/>
              </w:rPr>
            </w:pPr>
            <w:r w:rsidRPr="00B83651">
              <w:rPr>
                <w:b/>
              </w:rPr>
              <w:t>Kurzfassung de</w:t>
            </w:r>
            <w:r>
              <w:rPr>
                <w:b/>
              </w:rPr>
              <w:t>s</w:t>
            </w:r>
            <w:r w:rsidRPr="00B83651">
              <w:rPr>
                <w:b/>
              </w:rPr>
              <w:t xml:space="preserve"> PCIM Europe 2022 </w:t>
            </w:r>
            <w:r>
              <w:rPr>
                <w:b/>
              </w:rPr>
              <w:t>Young Researcher Award Papers</w:t>
            </w:r>
            <w:r w:rsidRPr="00B83651">
              <w:rPr>
                <w:b/>
              </w:rPr>
              <w:t xml:space="preserve"> (Konferenzsprache Englisch): </w:t>
            </w:r>
          </w:p>
          <w:p w14:paraId="3FFDFC58" w14:textId="77777777" w:rsidR="00195136" w:rsidRPr="00195136" w:rsidRDefault="00195136" w:rsidP="002C1098"/>
          <w:p w14:paraId="5F6AC06D" w14:textId="77777777" w:rsidR="00195136" w:rsidRPr="00195136" w:rsidRDefault="00195136" w:rsidP="00195136">
            <w:pPr>
              <w:rPr>
                <w:b/>
                <w:lang w:val="en-US"/>
              </w:rPr>
            </w:pPr>
            <w:r w:rsidRPr="00195136">
              <w:rPr>
                <w:b/>
                <w:lang w:val="en-US"/>
              </w:rPr>
              <w:t>Towards Digital Twins for the Optimization of Power Electronic Switching Cells with Discrete SiC Power MOSFETs</w:t>
            </w:r>
          </w:p>
          <w:p w14:paraId="7510352E" w14:textId="77777777" w:rsidR="00195136" w:rsidRDefault="00195136" w:rsidP="002C1098">
            <w:pPr>
              <w:rPr>
                <w:lang w:val="en-US"/>
              </w:rPr>
            </w:pPr>
            <w:r w:rsidRPr="00195136">
              <w:rPr>
                <w:lang w:val="en-US"/>
              </w:rPr>
              <w:t>Salvatore Race, Ulrike Grossner, Ivana Kovacevic-Badstuebner, Michel Nagel, Thomas Ziemann, ETH Zurich, CH</w:t>
            </w:r>
          </w:p>
          <w:p w14:paraId="09D511FC" w14:textId="77777777" w:rsidR="00195136" w:rsidRDefault="00195136" w:rsidP="002C1098">
            <w:pPr>
              <w:rPr>
                <w:lang w:val="en-US"/>
              </w:rPr>
            </w:pPr>
          </w:p>
          <w:p w14:paraId="64361A73" w14:textId="77777777" w:rsidR="009A0C31" w:rsidRDefault="00195136" w:rsidP="002C1098">
            <w:pPr>
              <w:rPr>
                <w:lang w:val="en-US"/>
              </w:rPr>
            </w:pPr>
            <w:r w:rsidRPr="00195136">
              <w:rPr>
                <w:lang w:val="en-US"/>
              </w:rPr>
              <w:t>Layout optimization of power electronic switching cells is highly important f</w:t>
            </w:r>
            <w:r>
              <w:rPr>
                <w:lang w:val="en-US"/>
              </w:rPr>
              <w:t xml:space="preserve">or the design of high-efficiency </w:t>
            </w:r>
            <w:r w:rsidRPr="00195136">
              <w:rPr>
                <w:lang w:val="en-US"/>
              </w:rPr>
              <w:t>fast-switching power converters. The aim of this paper is to identify PCB layout design parameters leading</w:t>
            </w:r>
            <w:r>
              <w:rPr>
                <w:lang w:val="en-US"/>
              </w:rPr>
              <w:t xml:space="preserve"> </w:t>
            </w:r>
            <w:r w:rsidRPr="00195136">
              <w:rPr>
                <w:lang w:val="en-US"/>
              </w:rPr>
              <w:t>to an improved layout design with respect to low switching losses and low electromagnetic interference. A</w:t>
            </w:r>
            <w:r>
              <w:rPr>
                <w:lang w:val="en-US"/>
              </w:rPr>
              <w:t xml:space="preserve"> </w:t>
            </w:r>
            <w:r w:rsidRPr="00195136">
              <w:rPr>
                <w:lang w:val="en-US"/>
              </w:rPr>
              <w:t>digital twin of the switching cells containing discrete silicon carbide power devices was developed and</w:t>
            </w:r>
            <w:r>
              <w:rPr>
                <w:lang w:val="en-US"/>
              </w:rPr>
              <w:t xml:space="preserve"> </w:t>
            </w:r>
            <w:r w:rsidRPr="00195136">
              <w:rPr>
                <w:lang w:val="en-US"/>
              </w:rPr>
              <w:t>verifie</w:t>
            </w:r>
            <w:r>
              <w:rPr>
                <w:lang w:val="en-US"/>
              </w:rPr>
              <w:t>d</w:t>
            </w:r>
            <w:r w:rsidRPr="00195136">
              <w:rPr>
                <w:lang w:val="en-US"/>
              </w:rPr>
              <w:t xml:space="preserve"> by double-pulse measurements. </w:t>
            </w:r>
          </w:p>
          <w:p w14:paraId="734C7984" w14:textId="77777777" w:rsidR="009A0C31" w:rsidRDefault="009A0C31" w:rsidP="002C1098">
            <w:pPr>
              <w:rPr>
                <w:lang w:val="en-US"/>
              </w:rPr>
            </w:pPr>
          </w:p>
          <w:p w14:paraId="57DE9FEF" w14:textId="77777777" w:rsidR="009A0C31" w:rsidRDefault="009A0C31" w:rsidP="002C1098">
            <w:pPr>
              <w:rPr>
                <w:lang w:val="en-US"/>
              </w:rPr>
            </w:pPr>
          </w:p>
          <w:p w14:paraId="12AA6BB8" w14:textId="77777777" w:rsidR="009A0C31" w:rsidRDefault="009A0C31" w:rsidP="002C1098">
            <w:pPr>
              <w:rPr>
                <w:lang w:val="en-US"/>
              </w:rPr>
            </w:pPr>
          </w:p>
          <w:p w14:paraId="2EF327CB" w14:textId="77777777" w:rsidR="00195136" w:rsidRDefault="00195136" w:rsidP="002C1098">
            <w:pPr>
              <w:rPr>
                <w:lang w:val="en-US"/>
              </w:rPr>
            </w:pPr>
            <w:r w:rsidRPr="00195136">
              <w:rPr>
                <w:lang w:val="en-US"/>
              </w:rPr>
              <w:lastRenderedPageBreak/>
              <w:t>The results identify and quantify the non-negligible influenc</w:t>
            </w:r>
            <w:r>
              <w:rPr>
                <w:lang w:val="en-US"/>
              </w:rPr>
              <w:t xml:space="preserve">e </w:t>
            </w:r>
            <w:r w:rsidRPr="00195136">
              <w:rPr>
                <w:lang w:val="en-US"/>
              </w:rPr>
              <w:t>of the layout parasitic capacitances on the optimization of switching losses. The observed modeling</w:t>
            </w:r>
            <w:r>
              <w:rPr>
                <w:lang w:val="en-US"/>
              </w:rPr>
              <w:t xml:space="preserve"> </w:t>
            </w:r>
            <w:r w:rsidRPr="00195136">
              <w:rPr>
                <w:lang w:val="en-US"/>
              </w:rPr>
              <w:t>challenges point towards the need for more accurate EM modeling techniques for power electronics</w:t>
            </w:r>
            <w:r>
              <w:rPr>
                <w:lang w:val="en-US"/>
              </w:rPr>
              <w:t xml:space="preserve"> </w:t>
            </w:r>
            <w:r w:rsidRPr="00195136">
              <w:rPr>
                <w:lang w:val="en-US"/>
              </w:rPr>
              <w:t>applications and for standardization of SiC power MOSFET Spice models.</w:t>
            </w:r>
          </w:p>
          <w:p w14:paraId="414A6832" w14:textId="77777777" w:rsidR="009A0C31" w:rsidRDefault="009A0C31" w:rsidP="002C1098">
            <w:pPr>
              <w:rPr>
                <w:lang w:val="en-US"/>
              </w:rPr>
            </w:pPr>
          </w:p>
          <w:p w14:paraId="5E8C0AA6" w14:textId="7F3137F8" w:rsidR="009A0C31" w:rsidRPr="009A0C31" w:rsidRDefault="009A0C31" w:rsidP="002C1098">
            <w:r w:rsidRPr="009A0C31">
              <w:t xml:space="preserve">Weitere Informationen zur Veranstaltung sind unter </w:t>
            </w:r>
            <w:hyperlink r:id="rId8" w:history="1">
              <w:r w:rsidRPr="009A0C31">
                <w:rPr>
                  <w:rStyle w:val="Hyperlink"/>
                </w:rPr>
                <w:t>pcim.de</w:t>
              </w:r>
            </w:hyperlink>
            <w:r w:rsidRPr="009A0C31">
              <w:t xml:space="preserve"> abrufbar. </w:t>
            </w:r>
          </w:p>
          <w:p w14:paraId="1D8AE18B" w14:textId="0AA19136" w:rsidR="009A0C31" w:rsidRPr="009A0C31" w:rsidRDefault="009A0C31" w:rsidP="002C1098"/>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4" w:name="Vmeinname"/>
            <w:bookmarkEnd w:id="4"/>
            <w:r>
              <w:rPr>
                <w:rFonts w:cs="Arial"/>
                <w:sz w:val="15"/>
                <w:szCs w:val="15"/>
                <w:lang w:val="en-US"/>
              </w:rPr>
              <w:lastRenderedPageBreak/>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2E37FE" w:rsidP="00CC55ED">
            <w:pPr>
              <w:spacing w:line="200" w:lineRule="atLeast"/>
              <w:rPr>
                <w:rFonts w:cs="Arial"/>
                <w:sz w:val="15"/>
                <w:szCs w:val="15"/>
                <w:lang w:val="en-US"/>
              </w:rPr>
            </w:pPr>
            <w:hyperlink r:id="rId9" w:history="1">
              <w:r w:rsidR="00A13A34" w:rsidRPr="00CC55ED">
                <w:rPr>
                  <w:sz w:val="15"/>
                  <w:szCs w:val="15"/>
                  <w:lang w:val="en-US"/>
                </w:rPr>
                <w:t>pcim.de</w:t>
              </w:r>
            </w:hyperlink>
          </w:p>
          <w:p w14:paraId="62B4C3F4" w14:textId="77777777" w:rsidR="00ED1F74" w:rsidRDefault="00ED1F74" w:rsidP="00CC55ED">
            <w:pPr>
              <w:spacing w:line="200" w:lineRule="exact"/>
              <w:rPr>
                <w:szCs w:val="22"/>
                <w:lang w:val="en-US"/>
              </w:rPr>
            </w:pPr>
          </w:p>
        </w:tc>
      </w:tr>
    </w:tbl>
    <w:p w14:paraId="3AF2AC64" w14:textId="77777777" w:rsidR="008A1EEB" w:rsidRPr="000A299F" w:rsidRDefault="008A1EEB" w:rsidP="008A1EEB">
      <w:pPr>
        <w:spacing w:line="320" w:lineRule="atLeast"/>
        <w:rPr>
          <w:rFonts w:cs="Arial"/>
          <w:b/>
          <w:sz w:val="17"/>
          <w:szCs w:val="17"/>
        </w:rPr>
      </w:pPr>
      <w:bookmarkStart w:id="5" w:name="V_head1"/>
      <w:bookmarkEnd w:id="5"/>
      <w:r w:rsidRPr="000A299F">
        <w:rPr>
          <w:rFonts w:cs="Arial"/>
          <w:b/>
          <w:sz w:val="17"/>
          <w:szCs w:val="17"/>
        </w:rPr>
        <w:lastRenderedPageBreak/>
        <w:t xml:space="preserve">Über Mesago </w:t>
      </w:r>
      <w:r>
        <w:rPr>
          <w:rFonts w:cs="Arial"/>
          <w:b/>
          <w:sz w:val="17"/>
          <w:szCs w:val="17"/>
        </w:rPr>
        <w:t>Messe Frankfurt</w:t>
      </w:r>
    </w:p>
    <w:p w14:paraId="0ACC5C83" w14:textId="1B266BFA"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972D32">
        <w:rPr>
          <w:rFonts w:cs="Arial"/>
          <w:sz w:val="17"/>
          <w:szCs w:val="17"/>
        </w:rPr>
        <w:t>eranstaltet pro Jahr mit 15</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„Fairs &amp; Events“, „Locations“ und „Services“. Ein wesentliches Alleinstellungsmerkmal der Unternehmensgruppe ist das globale Vertriebsnetz, das engmaschig alle Weltregionen abdeckt. Unser umfassendes Dienstleistungsangebot – onsite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1" w:history="1">
        <w:r w:rsidRPr="00A00ED0">
          <w:rPr>
            <w:rStyle w:val="Hyperlink"/>
            <w:rFonts w:cs="Arial"/>
            <w:sz w:val="17"/>
            <w:szCs w:val="17"/>
          </w:rPr>
          <w:t>www.messefrankfurt.com</w:t>
        </w:r>
      </w:hyperlink>
    </w:p>
    <w:p w14:paraId="7EF15C53" w14:textId="77777777" w:rsidR="00A3026A" w:rsidRDefault="00A3026A" w:rsidP="00D362FB">
      <w:pPr>
        <w:spacing w:line="280" w:lineRule="atLeast"/>
        <w:rPr>
          <w:rFonts w:cs="Arial"/>
          <w:sz w:val="17"/>
          <w:szCs w:val="17"/>
        </w:rPr>
      </w:pPr>
    </w:p>
    <w:sectPr w:rsidR="00A3026A">
      <w:headerReference w:type="even" r:id="rId12"/>
      <w:headerReference w:type="default" r:id="rId13"/>
      <w:footerReference w:type="even"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2E37FE">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2E37FE">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35223"/>
    <w:multiLevelType w:val="hybridMultilevel"/>
    <w:tmpl w:val="A5EE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B33978"/>
    <w:multiLevelType w:val="multilevel"/>
    <w:tmpl w:val="E7B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A0509"/>
    <w:multiLevelType w:val="hybridMultilevel"/>
    <w:tmpl w:val="38C4376A"/>
    <w:lvl w:ilvl="0" w:tplc="F96C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3520"/>
    <w:rsid w:val="00020B0A"/>
    <w:rsid w:val="0002404E"/>
    <w:rsid w:val="00024B6A"/>
    <w:rsid w:val="000304CD"/>
    <w:rsid w:val="000346AE"/>
    <w:rsid w:val="000444DA"/>
    <w:rsid w:val="000512AB"/>
    <w:rsid w:val="00084A80"/>
    <w:rsid w:val="00092A00"/>
    <w:rsid w:val="000956E8"/>
    <w:rsid w:val="0009635E"/>
    <w:rsid w:val="000B3A87"/>
    <w:rsid w:val="000B7BE1"/>
    <w:rsid w:val="000C7BAB"/>
    <w:rsid w:val="000D6E53"/>
    <w:rsid w:val="000F56F2"/>
    <w:rsid w:val="00132CA0"/>
    <w:rsid w:val="00146362"/>
    <w:rsid w:val="001507E5"/>
    <w:rsid w:val="00173C77"/>
    <w:rsid w:val="00182CDD"/>
    <w:rsid w:val="001842BA"/>
    <w:rsid w:val="001935B5"/>
    <w:rsid w:val="00194D5E"/>
    <w:rsid w:val="00195136"/>
    <w:rsid w:val="001B449E"/>
    <w:rsid w:val="001C1C0F"/>
    <w:rsid w:val="001C4C81"/>
    <w:rsid w:val="001D2821"/>
    <w:rsid w:val="001D50A8"/>
    <w:rsid w:val="001E4B80"/>
    <w:rsid w:val="00202DE3"/>
    <w:rsid w:val="00203BEA"/>
    <w:rsid w:val="00213286"/>
    <w:rsid w:val="00217C04"/>
    <w:rsid w:val="00220C8A"/>
    <w:rsid w:val="002220C6"/>
    <w:rsid w:val="00222B9C"/>
    <w:rsid w:val="0022630C"/>
    <w:rsid w:val="00236A6E"/>
    <w:rsid w:val="00242D39"/>
    <w:rsid w:val="00252498"/>
    <w:rsid w:val="00253E8B"/>
    <w:rsid w:val="0026396D"/>
    <w:rsid w:val="002812B0"/>
    <w:rsid w:val="00294F30"/>
    <w:rsid w:val="0029796D"/>
    <w:rsid w:val="002A4F54"/>
    <w:rsid w:val="002C1098"/>
    <w:rsid w:val="002C4CD1"/>
    <w:rsid w:val="002D72C0"/>
    <w:rsid w:val="002E37FE"/>
    <w:rsid w:val="002E3A34"/>
    <w:rsid w:val="002F0577"/>
    <w:rsid w:val="002F0DFB"/>
    <w:rsid w:val="0030362E"/>
    <w:rsid w:val="003142A5"/>
    <w:rsid w:val="00324872"/>
    <w:rsid w:val="003278E6"/>
    <w:rsid w:val="003357CD"/>
    <w:rsid w:val="003443ED"/>
    <w:rsid w:val="0034454B"/>
    <w:rsid w:val="0034589B"/>
    <w:rsid w:val="00352656"/>
    <w:rsid w:val="003647FD"/>
    <w:rsid w:val="003760B0"/>
    <w:rsid w:val="00391301"/>
    <w:rsid w:val="00395051"/>
    <w:rsid w:val="003A1ADA"/>
    <w:rsid w:val="003A3239"/>
    <w:rsid w:val="003C3677"/>
    <w:rsid w:val="003E4468"/>
    <w:rsid w:val="003F33BD"/>
    <w:rsid w:val="004029DE"/>
    <w:rsid w:val="00410367"/>
    <w:rsid w:val="004202FE"/>
    <w:rsid w:val="00426D4F"/>
    <w:rsid w:val="00426F13"/>
    <w:rsid w:val="00427517"/>
    <w:rsid w:val="004416BA"/>
    <w:rsid w:val="00445701"/>
    <w:rsid w:val="00446195"/>
    <w:rsid w:val="00446F62"/>
    <w:rsid w:val="00465234"/>
    <w:rsid w:val="004A36D9"/>
    <w:rsid w:val="004A5327"/>
    <w:rsid w:val="004B0016"/>
    <w:rsid w:val="004B5E7D"/>
    <w:rsid w:val="004F3F22"/>
    <w:rsid w:val="004F6345"/>
    <w:rsid w:val="004F78CD"/>
    <w:rsid w:val="00506F2B"/>
    <w:rsid w:val="00511207"/>
    <w:rsid w:val="00515E66"/>
    <w:rsid w:val="00530097"/>
    <w:rsid w:val="00557D41"/>
    <w:rsid w:val="005611C3"/>
    <w:rsid w:val="0058258A"/>
    <w:rsid w:val="00593586"/>
    <w:rsid w:val="005957A0"/>
    <w:rsid w:val="005A210E"/>
    <w:rsid w:val="005A7162"/>
    <w:rsid w:val="005B32B8"/>
    <w:rsid w:val="005B7272"/>
    <w:rsid w:val="005D1C44"/>
    <w:rsid w:val="005E1B5F"/>
    <w:rsid w:val="005E70A2"/>
    <w:rsid w:val="005F071D"/>
    <w:rsid w:val="00602E04"/>
    <w:rsid w:val="00612196"/>
    <w:rsid w:val="00613835"/>
    <w:rsid w:val="00630FFD"/>
    <w:rsid w:val="00633796"/>
    <w:rsid w:val="00653F93"/>
    <w:rsid w:val="006606FE"/>
    <w:rsid w:val="006712A6"/>
    <w:rsid w:val="00695979"/>
    <w:rsid w:val="006B5704"/>
    <w:rsid w:val="006C705C"/>
    <w:rsid w:val="006D2DF8"/>
    <w:rsid w:val="006F24A0"/>
    <w:rsid w:val="006F4FE8"/>
    <w:rsid w:val="0074330D"/>
    <w:rsid w:val="007508AE"/>
    <w:rsid w:val="00756089"/>
    <w:rsid w:val="0076695A"/>
    <w:rsid w:val="007778EB"/>
    <w:rsid w:val="00782156"/>
    <w:rsid w:val="00795E67"/>
    <w:rsid w:val="00796B7D"/>
    <w:rsid w:val="007A57B9"/>
    <w:rsid w:val="007C2304"/>
    <w:rsid w:val="007D0317"/>
    <w:rsid w:val="007D6446"/>
    <w:rsid w:val="007E09FD"/>
    <w:rsid w:val="007E34D3"/>
    <w:rsid w:val="007E3D2B"/>
    <w:rsid w:val="007E4BA1"/>
    <w:rsid w:val="008010AD"/>
    <w:rsid w:val="00802C38"/>
    <w:rsid w:val="008047C7"/>
    <w:rsid w:val="0081109D"/>
    <w:rsid w:val="0081622D"/>
    <w:rsid w:val="00822C48"/>
    <w:rsid w:val="00834C6F"/>
    <w:rsid w:val="00836288"/>
    <w:rsid w:val="00854BE2"/>
    <w:rsid w:val="00860795"/>
    <w:rsid w:val="0086645F"/>
    <w:rsid w:val="00866810"/>
    <w:rsid w:val="00874628"/>
    <w:rsid w:val="00880733"/>
    <w:rsid w:val="0088450E"/>
    <w:rsid w:val="00885C41"/>
    <w:rsid w:val="0089270D"/>
    <w:rsid w:val="008A1EEB"/>
    <w:rsid w:val="008A49B4"/>
    <w:rsid w:val="008C3DD5"/>
    <w:rsid w:val="008D1F2A"/>
    <w:rsid w:val="00902180"/>
    <w:rsid w:val="00912953"/>
    <w:rsid w:val="00921190"/>
    <w:rsid w:val="00921FF1"/>
    <w:rsid w:val="00932588"/>
    <w:rsid w:val="00935F6D"/>
    <w:rsid w:val="00947DB3"/>
    <w:rsid w:val="00954C29"/>
    <w:rsid w:val="00972D32"/>
    <w:rsid w:val="00986F01"/>
    <w:rsid w:val="009A0C31"/>
    <w:rsid w:val="009A167A"/>
    <w:rsid w:val="009A1966"/>
    <w:rsid w:val="009B3E00"/>
    <w:rsid w:val="009C304E"/>
    <w:rsid w:val="009C4D81"/>
    <w:rsid w:val="009C5B14"/>
    <w:rsid w:val="009D45E5"/>
    <w:rsid w:val="009E1152"/>
    <w:rsid w:val="009E1414"/>
    <w:rsid w:val="00A05B08"/>
    <w:rsid w:val="00A13A34"/>
    <w:rsid w:val="00A23AD2"/>
    <w:rsid w:val="00A27BB2"/>
    <w:rsid w:val="00A3026A"/>
    <w:rsid w:val="00A538E6"/>
    <w:rsid w:val="00A54860"/>
    <w:rsid w:val="00A56B9E"/>
    <w:rsid w:val="00A718C9"/>
    <w:rsid w:val="00A77987"/>
    <w:rsid w:val="00A932F1"/>
    <w:rsid w:val="00AA0575"/>
    <w:rsid w:val="00AA73CF"/>
    <w:rsid w:val="00AA7D42"/>
    <w:rsid w:val="00AB01AB"/>
    <w:rsid w:val="00AB2D2A"/>
    <w:rsid w:val="00AC19E1"/>
    <w:rsid w:val="00AC4ECB"/>
    <w:rsid w:val="00AE017F"/>
    <w:rsid w:val="00B24A70"/>
    <w:rsid w:val="00B42810"/>
    <w:rsid w:val="00B503D0"/>
    <w:rsid w:val="00B60F8F"/>
    <w:rsid w:val="00B672BF"/>
    <w:rsid w:val="00B674BF"/>
    <w:rsid w:val="00B73A35"/>
    <w:rsid w:val="00B83651"/>
    <w:rsid w:val="00B8538C"/>
    <w:rsid w:val="00B933B3"/>
    <w:rsid w:val="00BD058C"/>
    <w:rsid w:val="00BD2040"/>
    <w:rsid w:val="00BE092D"/>
    <w:rsid w:val="00BF4B90"/>
    <w:rsid w:val="00C01FCC"/>
    <w:rsid w:val="00C11FA8"/>
    <w:rsid w:val="00C429A6"/>
    <w:rsid w:val="00C502B3"/>
    <w:rsid w:val="00C62EF8"/>
    <w:rsid w:val="00C84A6C"/>
    <w:rsid w:val="00C94225"/>
    <w:rsid w:val="00CA0BC6"/>
    <w:rsid w:val="00CA3AC2"/>
    <w:rsid w:val="00CB4426"/>
    <w:rsid w:val="00CC0C23"/>
    <w:rsid w:val="00CC1950"/>
    <w:rsid w:val="00CC55ED"/>
    <w:rsid w:val="00CD26F9"/>
    <w:rsid w:val="00CD2B11"/>
    <w:rsid w:val="00CE5D6B"/>
    <w:rsid w:val="00CF20DF"/>
    <w:rsid w:val="00D200A2"/>
    <w:rsid w:val="00D3351D"/>
    <w:rsid w:val="00D352CE"/>
    <w:rsid w:val="00D362FB"/>
    <w:rsid w:val="00D45CDF"/>
    <w:rsid w:val="00D73F8A"/>
    <w:rsid w:val="00D95612"/>
    <w:rsid w:val="00D9677A"/>
    <w:rsid w:val="00DA4903"/>
    <w:rsid w:val="00DB1C4E"/>
    <w:rsid w:val="00DC2E6C"/>
    <w:rsid w:val="00DC31D3"/>
    <w:rsid w:val="00DD737E"/>
    <w:rsid w:val="00DF71A3"/>
    <w:rsid w:val="00E00A4D"/>
    <w:rsid w:val="00E1260F"/>
    <w:rsid w:val="00E16C18"/>
    <w:rsid w:val="00E17665"/>
    <w:rsid w:val="00E20196"/>
    <w:rsid w:val="00E229D9"/>
    <w:rsid w:val="00E24814"/>
    <w:rsid w:val="00E26B3F"/>
    <w:rsid w:val="00E36694"/>
    <w:rsid w:val="00E40004"/>
    <w:rsid w:val="00E4441F"/>
    <w:rsid w:val="00E4471C"/>
    <w:rsid w:val="00E52C42"/>
    <w:rsid w:val="00E57DFE"/>
    <w:rsid w:val="00E65700"/>
    <w:rsid w:val="00E65D2B"/>
    <w:rsid w:val="00E86B3E"/>
    <w:rsid w:val="00E8765E"/>
    <w:rsid w:val="00E900BA"/>
    <w:rsid w:val="00EA0095"/>
    <w:rsid w:val="00EA5E0F"/>
    <w:rsid w:val="00EB00C8"/>
    <w:rsid w:val="00ED1F74"/>
    <w:rsid w:val="00EE30AA"/>
    <w:rsid w:val="00EE3C8A"/>
    <w:rsid w:val="00EF4C9C"/>
    <w:rsid w:val="00F026A3"/>
    <w:rsid w:val="00F029FC"/>
    <w:rsid w:val="00F11395"/>
    <w:rsid w:val="00F27380"/>
    <w:rsid w:val="00F3375C"/>
    <w:rsid w:val="00F527BC"/>
    <w:rsid w:val="00F56608"/>
    <w:rsid w:val="00F63F5D"/>
    <w:rsid w:val="00F836F7"/>
    <w:rsid w:val="00F87E91"/>
    <w:rsid w:val="00F9440D"/>
    <w:rsid w:val="00FB6CB8"/>
    <w:rsid w:val="00FC1C7A"/>
    <w:rsid w:val="00FD3CB6"/>
    <w:rsid w:val="00FD7A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6606FE"/>
    <w:rPr>
      <w:sz w:val="16"/>
      <w:szCs w:val="16"/>
    </w:rPr>
  </w:style>
  <w:style w:type="paragraph" w:styleId="Kommentartext">
    <w:name w:val="annotation text"/>
    <w:basedOn w:val="Standard"/>
    <w:link w:val="KommentartextZchn"/>
    <w:unhideWhenUsed/>
    <w:rsid w:val="006606FE"/>
    <w:pPr>
      <w:spacing w:line="240" w:lineRule="auto"/>
    </w:pPr>
    <w:rPr>
      <w:sz w:val="20"/>
    </w:rPr>
  </w:style>
  <w:style w:type="character" w:customStyle="1" w:styleId="KommentartextZchn">
    <w:name w:val="Kommentartext Zchn"/>
    <w:basedOn w:val="Absatz-Standardschriftart"/>
    <w:link w:val="Kommentartext"/>
    <w:rsid w:val="006606FE"/>
    <w:rPr>
      <w:rFonts w:ascii="Arial" w:hAnsi="Arial"/>
    </w:rPr>
  </w:style>
  <w:style w:type="paragraph" w:styleId="Kommentarthema">
    <w:name w:val="annotation subject"/>
    <w:basedOn w:val="Kommentartext"/>
    <w:next w:val="Kommentartext"/>
    <w:link w:val="KommentarthemaZchn"/>
    <w:semiHidden/>
    <w:unhideWhenUsed/>
    <w:rsid w:val="006606FE"/>
    <w:rPr>
      <w:b/>
      <w:bCs/>
    </w:rPr>
  </w:style>
  <w:style w:type="character" w:customStyle="1" w:styleId="KommentarthemaZchn">
    <w:name w:val="Kommentarthema Zchn"/>
    <w:basedOn w:val="KommentartextZchn"/>
    <w:link w:val="Kommentarthema"/>
    <w:semiHidden/>
    <w:rsid w:val="006606FE"/>
    <w:rPr>
      <w:rFonts w:ascii="Arial" w:hAnsi="Arial"/>
      <w:b/>
      <w:bCs/>
    </w:rPr>
  </w:style>
  <w:style w:type="paragraph" w:styleId="Listenabsatz">
    <w:name w:val="List Paragraph"/>
    <w:basedOn w:val="Standard"/>
    <w:uiPriority w:val="34"/>
    <w:qFormat/>
    <w:rsid w:val="003278E6"/>
    <w:pPr>
      <w:widowControl/>
      <w:spacing w:line="240" w:lineRule="auto"/>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650986532">
      <w:bodyDiv w:val="1"/>
      <w:marLeft w:val="0"/>
      <w:marRight w:val="0"/>
      <w:marTop w:val="0"/>
      <w:marBottom w:val="0"/>
      <w:divBdr>
        <w:top w:val="none" w:sz="0" w:space="0" w:color="auto"/>
        <w:left w:val="none" w:sz="0" w:space="0" w:color="auto"/>
        <w:bottom w:val="none" w:sz="0" w:space="0" w:color="auto"/>
        <w:right w:val="none" w:sz="0" w:space="0" w:color="auto"/>
      </w:divBdr>
    </w:div>
    <w:div w:id="680471977">
      <w:bodyDiv w:val="1"/>
      <w:marLeft w:val="0"/>
      <w:marRight w:val="0"/>
      <w:marTop w:val="0"/>
      <w:marBottom w:val="0"/>
      <w:divBdr>
        <w:top w:val="none" w:sz="0" w:space="0" w:color="auto"/>
        <w:left w:val="none" w:sz="0" w:space="0" w:color="auto"/>
        <w:bottom w:val="none" w:sz="0" w:space="0" w:color="auto"/>
        <w:right w:val="none" w:sz="0" w:space="0" w:color="auto"/>
      </w:divBdr>
    </w:div>
    <w:div w:id="920262840">
      <w:bodyDiv w:val="1"/>
      <w:marLeft w:val="0"/>
      <w:marRight w:val="0"/>
      <w:marTop w:val="0"/>
      <w:marBottom w:val="0"/>
      <w:divBdr>
        <w:top w:val="none" w:sz="0" w:space="0" w:color="auto"/>
        <w:left w:val="none" w:sz="0" w:space="0" w:color="auto"/>
        <w:bottom w:val="none" w:sz="0" w:space="0" w:color="auto"/>
        <w:right w:val="none" w:sz="0" w:space="0" w:color="auto"/>
      </w:divBdr>
    </w:div>
    <w:div w:id="1105031021">
      <w:bodyDiv w:val="1"/>
      <w:marLeft w:val="0"/>
      <w:marRight w:val="0"/>
      <w:marTop w:val="0"/>
      <w:marBottom w:val="0"/>
      <w:divBdr>
        <w:top w:val="none" w:sz="0" w:space="0" w:color="auto"/>
        <w:left w:val="none" w:sz="0" w:space="0" w:color="auto"/>
        <w:bottom w:val="none" w:sz="0" w:space="0" w:color="auto"/>
        <w:right w:val="none" w:sz="0" w:space="0" w:color="auto"/>
      </w:divBdr>
    </w:div>
    <w:div w:id="1111097391">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62392556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sago.de/de/PCIM/home.ht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3EBA-DA45-4BCF-BF70-F2B7C33F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4</Pages>
  <Words>1344</Words>
  <Characters>8474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9799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Lohmiller, Marina (Mesago Stuttgart)</cp:lastModifiedBy>
  <cp:revision>27</cp:revision>
  <cp:lastPrinted>2019-01-15T12:26:00Z</cp:lastPrinted>
  <dcterms:created xsi:type="dcterms:W3CDTF">2022-02-15T13:06:00Z</dcterms:created>
  <dcterms:modified xsi:type="dcterms:W3CDTF">2022-04-28T05:36:00Z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